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keepNext w:val="0"/>
        <w:keepLines w:val="0"/>
        <w:pageBreakBefore w:val="0"/>
        <w:widowControl w:val="0"/>
        <w:kinsoku/>
        <w:wordWrap/>
        <w:overflowPunct/>
        <w:topLinePunct w:val="0"/>
        <w:autoSpaceDE/>
        <w:autoSpaceDN/>
        <w:bidi w:val="0"/>
        <w:adjustRightInd/>
        <w:snapToGrid/>
        <w:spacing w:line="580" w:lineRule="exact"/>
        <w:jc w:val="center"/>
        <w:textAlignment w:val="auto"/>
        <w:rPr>
          <w:lang w:val="en-US" w:eastAsia="zh-CN"/>
        </w:rPr>
      </w:pPr>
    </w:p>
    <w:p>
      <w:pPr>
        <w:pStyle w:val="17"/>
        <w:keepNext w:val="0"/>
        <w:keepLines w:val="0"/>
        <w:pageBreakBefore w:val="0"/>
        <w:widowControl w:val="0"/>
        <w:kinsoku/>
        <w:wordWrap/>
        <w:overflowPunct/>
        <w:topLinePunct w:val="0"/>
        <w:autoSpaceDE/>
        <w:autoSpaceDN/>
        <w:bidi w:val="0"/>
        <w:adjustRightInd/>
        <w:snapToGrid/>
        <w:spacing w:line="580" w:lineRule="exact"/>
        <w:jc w:val="center"/>
        <w:textAlignment w:val="auto"/>
      </w:pPr>
      <w:bookmarkStart w:id="0" w:name="_GoBack"/>
      <w:bookmarkEnd w:id="0"/>
      <w:r>
        <w:rPr>
          <w:lang w:val="en-US" w:eastAsia="zh-CN"/>
        </w:rPr>
        <w:t>山东省生态环境厅</w:t>
      </w:r>
    </w:p>
    <w:p>
      <w:pPr>
        <w:pStyle w:val="17"/>
        <w:keepNext w:val="0"/>
        <w:keepLines w:val="0"/>
        <w:pageBreakBefore w:val="0"/>
        <w:widowControl w:val="0"/>
        <w:kinsoku/>
        <w:wordWrap/>
        <w:overflowPunct/>
        <w:topLinePunct w:val="0"/>
        <w:autoSpaceDE/>
        <w:autoSpaceDN/>
        <w:bidi w:val="0"/>
        <w:adjustRightInd/>
        <w:snapToGrid/>
        <w:spacing w:line="580" w:lineRule="exact"/>
        <w:jc w:val="center"/>
        <w:textAlignment w:val="auto"/>
      </w:pPr>
      <w:r>
        <w:rPr>
          <w:lang w:val="en-US" w:eastAsia="zh-CN"/>
        </w:rPr>
        <w:t>关于印发优化环评审批服务助推重大项目建设的若干措施的通知</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eastAsia" w:ascii="楷体_GB2312" w:hAnsi="楷体_GB2312" w:eastAsia="楷体_GB2312" w:cs="楷体_GB2312"/>
        </w:rPr>
      </w:pPr>
      <w:r>
        <w:rPr>
          <w:rFonts w:hint="eastAsia" w:ascii="楷体_GB2312" w:hAnsi="楷体_GB2312" w:eastAsia="楷体_GB2312" w:cs="楷体_GB2312"/>
          <w:lang w:val="en-US" w:eastAsia="zh-CN"/>
        </w:rPr>
        <w:t>鲁环发〔2020〕17号</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pPr>
      <w:r>
        <w:rPr>
          <w:lang w:val="en-US" w:eastAsia="zh-CN"/>
        </w:rPr>
        <w:t>各市生态环境局、有关市行政审批服务局：</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pPr>
      <w:r>
        <w:rPr>
          <w:rFonts w:hint="default"/>
          <w:lang w:val="en-US" w:eastAsia="zh-CN"/>
        </w:rPr>
        <w:t>为贯彻落实《中共山东省委、山东省人民政府关于深化制度创新加快流程再造的指导意见》等有关部署，进一步深化“放管服”改革，优化营商环境，助推重大项目建设，促进生态环境保护与经济高质量发展双赢，我厅研究制定了《优化环评审批服务助推重大项目建设的若干措施》。现印发给你们，并提出如下要求，请认真抓好落实。</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pPr>
      <w:r>
        <w:rPr>
          <w:rStyle w:val="21"/>
          <w:lang w:val="en-US" w:eastAsia="zh-CN"/>
        </w:rPr>
        <w:t>一、提高政治站位</w:t>
      </w:r>
      <w:r>
        <w:rPr>
          <w:lang w:val="en-US" w:eastAsia="zh-CN"/>
        </w:rPr>
        <w:t>。</w:t>
      </w:r>
      <w:r>
        <w:rPr>
          <w:rFonts w:hint="default"/>
          <w:lang w:val="en-US" w:eastAsia="zh-CN"/>
        </w:rPr>
        <w:t>依法开展环境影响评价，是打赢污染防治攻坚战、改善生态环境质量的有力抓手，也是推进重大项目建设、服务经济高质量发展的重要支撑。各级生态环境（行政审批服务）部门要进一步提高政治站位，落实“换位思考、主动服务、有求必应、无事无需不扰、结果评价”服务理念，持续推进环评审批提质增效，放出活力、管出公平、服出便利，努力实现生态环境保护与经济高质量发展双赢。</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pPr>
      <w:r>
        <w:rPr>
          <w:rStyle w:val="21"/>
          <w:lang w:val="en-US" w:eastAsia="zh-CN"/>
        </w:rPr>
        <w:t>二、优化审批流程</w:t>
      </w:r>
      <w:r>
        <w:rPr>
          <w:lang w:val="en-US" w:eastAsia="zh-CN"/>
        </w:rPr>
        <w:t>。</w:t>
      </w:r>
      <w:r>
        <w:rPr>
          <w:rFonts w:hint="default"/>
          <w:lang w:val="en-US" w:eastAsia="zh-CN"/>
        </w:rPr>
        <w:t>各级生态环境（行政审批服务）部门要依托山东“一网通办”总门户，全面实现事项受理、审查、决定、咨询等全流程在线办理。改革机关内部办事流程，减少决策层级和环节，加强业务、信息、流程整合，全面推行科（处）室“并联”“限时”审批，一口对外、限时办结、一次办好。涉及多部门的事项，要强化政策协同，实行并联审批。</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pPr>
      <w:r>
        <w:rPr>
          <w:rStyle w:val="21"/>
          <w:lang w:val="en-US" w:eastAsia="zh-CN"/>
        </w:rPr>
        <w:t>三、加强沟通协作</w:t>
      </w:r>
      <w:r>
        <w:rPr>
          <w:lang w:val="en-US" w:eastAsia="zh-CN"/>
        </w:rPr>
        <w:t>。</w:t>
      </w:r>
      <w:r>
        <w:rPr>
          <w:rFonts w:hint="default"/>
          <w:lang w:val="en-US" w:eastAsia="zh-CN"/>
        </w:rPr>
        <w:t>各级生态环境部门与行政审批服务部门要完善沟通协作机制，厘清职责边界，完善审管互动机制，实现行政审批与事中事后监管无缝衔接，确保监管责任无盲区、不交叉。生态环境部门要充分发挥业务优势，定期推送相关政策文件，为行政审批服务部门提供政策咨询，做好事中事后监管各项工作；行政审批服务部门要依法依规开展审批工作，及时与生态环境部门互通信息。</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pPr>
      <w:r>
        <w:rPr>
          <w:rStyle w:val="21"/>
          <w:lang w:val="en-US" w:eastAsia="zh-CN"/>
        </w:rPr>
        <w:t>四、确保政策落实</w:t>
      </w:r>
      <w:r>
        <w:rPr>
          <w:lang w:val="en-US" w:eastAsia="zh-CN"/>
        </w:rPr>
        <w:t>。</w:t>
      </w:r>
      <w:r>
        <w:rPr>
          <w:rFonts w:hint="default"/>
          <w:lang w:val="en-US" w:eastAsia="zh-CN"/>
        </w:rPr>
        <w:t>各市要遵循《优化环评审批服务助推重大项目建设的若干措施》精神，及时修订相关政策文件，研究出台配套落实办法，最大限度激发市场活力和社会创造力。注重典型引领，积极总结推广服务重大项目建设助推经济高质量发展的好做法、好经验、好案例。执行过程中遇到的新情况、新问题，请及时报告我厅。</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pPr>
      <w:r>
        <w:rPr>
          <w:rFonts w:hint="default"/>
          <w:lang w:val="en-US" w:eastAsia="zh-CN"/>
        </w:rPr>
        <w:t> </w:t>
      </w:r>
      <w:r>
        <w:rPr>
          <w:lang w:val="en-US" w:eastAsia="zh-CN"/>
        </w:rPr>
        <w:t>                          </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pPr>
      <w:r>
        <w:rPr>
          <w:lang w:val="en-US" w:eastAsia="zh-CN"/>
        </w:rPr>
        <w:t>山东省生态环境厅</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pPr>
      <w:r>
        <w:rPr>
          <w:rFonts w:hint="default"/>
          <w:lang w:val="en-US" w:eastAsia="zh-CN"/>
        </w:rPr>
        <w:t>20</w:t>
      </w:r>
      <w:r>
        <w:rPr>
          <w:lang w:val="en-US" w:eastAsia="zh-CN"/>
        </w:rPr>
        <w:t>20年4月3日</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pPr>
    </w:p>
    <w:p>
      <w:pPr>
        <w:pStyle w:val="17"/>
        <w:keepNext w:val="0"/>
        <w:keepLines w:val="0"/>
        <w:pageBreakBefore w:val="0"/>
        <w:widowControl w:val="0"/>
        <w:kinsoku/>
        <w:wordWrap/>
        <w:overflowPunct/>
        <w:topLinePunct w:val="0"/>
        <w:autoSpaceDE/>
        <w:autoSpaceDN/>
        <w:bidi w:val="0"/>
        <w:adjustRightInd/>
        <w:snapToGrid/>
        <w:spacing w:line="580" w:lineRule="exact"/>
        <w:jc w:val="both"/>
        <w:textAlignment w:val="auto"/>
        <w:rPr>
          <w:lang w:val="en-US" w:eastAsia="zh-CN"/>
        </w:rPr>
      </w:pPr>
    </w:p>
    <w:p>
      <w:pPr>
        <w:rPr>
          <w:lang w:val="en-US" w:eastAsia="zh-CN"/>
        </w:rPr>
      </w:pPr>
      <w:r>
        <w:rPr>
          <w:lang w:val="en-US" w:eastAsia="zh-CN"/>
        </w:rPr>
        <w:br w:type="page"/>
      </w:r>
    </w:p>
    <w:p>
      <w:pPr>
        <w:pStyle w:val="17"/>
        <w:keepNext w:val="0"/>
        <w:keepLines w:val="0"/>
        <w:pageBreakBefore w:val="0"/>
        <w:widowControl w:val="0"/>
        <w:kinsoku/>
        <w:wordWrap/>
        <w:overflowPunct/>
        <w:topLinePunct w:val="0"/>
        <w:autoSpaceDE/>
        <w:autoSpaceDN/>
        <w:bidi w:val="0"/>
        <w:adjustRightInd/>
        <w:snapToGrid/>
        <w:spacing w:line="580" w:lineRule="exact"/>
        <w:jc w:val="center"/>
        <w:textAlignment w:val="auto"/>
        <w:rPr>
          <w:lang w:val="en-US" w:eastAsia="zh-CN"/>
        </w:rPr>
      </w:pPr>
    </w:p>
    <w:p>
      <w:pPr>
        <w:pStyle w:val="17"/>
        <w:keepNext w:val="0"/>
        <w:keepLines w:val="0"/>
        <w:pageBreakBefore w:val="0"/>
        <w:widowControl w:val="0"/>
        <w:kinsoku/>
        <w:wordWrap/>
        <w:overflowPunct/>
        <w:topLinePunct w:val="0"/>
        <w:autoSpaceDE/>
        <w:autoSpaceDN/>
        <w:bidi w:val="0"/>
        <w:adjustRightInd/>
        <w:snapToGrid/>
        <w:spacing w:line="580" w:lineRule="exact"/>
        <w:jc w:val="center"/>
        <w:textAlignment w:val="auto"/>
        <w:rPr>
          <w:lang w:val="en-US" w:eastAsia="zh-CN"/>
        </w:rPr>
      </w:pPr>
      <w:r>
        <w:rPr>
          <w:lang w:val="en-US" w:eastAsia="zh-CN"/>
        </w:rPr>
        <w:t>优化环评审批服务助推重大项目建设的</w:t>
      </w:r>
    </w:p>
    <w:p>
      <w:pPr>
        <w:pStyle w:val="17"/>
        <w:keepNext w:val="0"/>
        <w:keepLines w:val="0"/>
        <w:pageBreakBefore w:val="0"/>
        <w:widowControl w:val="0"/>
        <w:kinsoku/>
        <w:wordWrap/>
        <w:overflowPunct/>
        <w:topLinePunct w:val="0"/>
        <w:autoSpaceDE/>
        <w:autoSpaceDN/>
        <w:bidi w:val="0"/>
        <w:adjustRightInd/>
        <w:snapToGrid/>
        <w:spacing w:line="580" w:lineRule="exact"/>
        <w:jc w:val="center"/>
        <w:textAlignment w:val="auto"/>
      </w:pPr>
      <w:r>
        <w:rPr>
          <w:lang w:val="en-US" w:eastAsia="zh-CN"/>
        </w:rPr>
        <w:t>若干措施</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pPr>
    </w:p>
    <w:p>
      <w:pPr>
        <w:pStyle w:val="2"/>
        <w:keepNext w:val="0"/>
        <w:keepLines w:val="0"/>
        <w:pageBreakBefore w:val="0"/>
        <w:widowControl w:val="0"/>
        <w:kinsoku/>
        <w:wordWrap/>
        <w:overflowPunct/>
        <w:topLinePunct w:val="0"/>
        <w:autoSpaceDE/>
        <w:autoSpaceDN/>
        <w:bidi w:val="0"/>
        <w:adjustRightInd/>
        <w:snapToGrid/>
        <w:spacing w:line="580" w:lineRule="exact"/>
        <w:jc w:val="both"/>
        <w:textAlignment w:val="auto"/>
      </w:pPr>
      <w:r>
        <w:rPr>
          <w:lang w:val="en-US" w:eastAsia="zh-CN"/>
        </w:rPr>
        <w:t>一、推进环评审批提质增效</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pPr>
      <w:r>
        <w:rPr>
          <w:rStyle w:val="16"/>
          <w:rFonts w:hint="default"/>
          <w:lang w:val="en-US" w:eastAsia="zh-CN"/>
        </w:rPr>
        <w:t>（一）加大建设项目环评审批简政放权力度</w:t>
      </w:r>
      <w:r>
        <w:rPr>
          <w:rFonts w:hint="default"/>
          <w:lang w:val="en-US" w:eastAsia="zh-CN"/>
        </w:rPr>
        <w:t>。按照省政府部署，2020年12月底前进一步下放建设项目环评审批权限，应放尽放、减无可减、放无可放，赋予各市更大的发展自主权。建设项目同时涉及海洋工程或辐射项目的，除因审批权限不同需单独进行审批的以外，环评文件一律合并审批。对确实无法避让生态保护红线和相关法定保护区的公路、铁路、电网、输油（气）管线等线性项目，环评审批部门应指导督促建设单位采取无害化穿（跨）越方式，强化减缓和补偿措施，提醒其依法依规向主管部门履行有关穿越手续；在符合法律法规规定的前提下，主管部门意见不作为环评审批的前置条件。</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pPr>
      <w:r>
        <w:rPr>
          <w:rStyle w:val="16"/>
          <w:rFonts w:hint="default"/>
          <w:lang w:val="en-US" w:eastAsia="zh-CN"/>
        </w:rPr>
        <w:t>（二）实现竣工环保设施“最多验一次”</w:t>
      </w:r>
      <w:r>
        <w:rPr>
          <w:rFonts w:hint="default"/>
          <w:lang w:val="en-US" w:eastAsia="zh-CN"/>
        </w:rPr>
        <w:t>。在固体废物污染环境防治法修订前，对产生固体废物（危险废物）的建设项目，各级环评审批部门要加强与企业对接协调，同其他污染要素的自主验收工作同步开展，实现“并联验收”。</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pPr>
      <w:r>
        <w:rPr>
          <w:rStyle w:val="16"/>
          <w:rFonts w:hint="default"/>
          <w:lang w:val="en-US" w:eastAsia="zh-CN"/>
        </w:rPr>
        <w:t>（三）破解污染物排放总量不足难题</w:t>
      </w:r>
      <w:r>
        <w:rPr>
          <w:rFonts w:hint="default"/>
          <w:lang w:val="en-US" w:eastAsia="zh-CN"/>
        </w:rPr>
        <w:t>。按照“先立后破”的原则，完善“要素跟着项目走”机制，坚持“生态环境质量只能更好、不能变坏”的底线，落实“四减四增”“四上四压”举措，积极拓宽污染物排放总量指标来源渠道。健全市域内污染物排放总量指标平衡机制，积极推进排污权交易试点工作，畅通市域内污染物排放总量指标向优质项目流动的制度化渠道。加强环评制度与排污许可制的有效衔接，排污许可证实施动态管理，依据建设项目环评文件中的污染物排放总量替代方案，调整排污许可证有关内容。</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pPr>
      <w:r>
        <w:rPr>
          <w:rStyle w:val="16"/>
          <w:rFonts w:hint="default"/>
          <w:lang w:val="en-US" w:eastAsia="zh-CN"/>
        </w:rPr>
        <w:t>（四）提升环评技术服务水平</w:t>
      </w:r>
      <w:r>
        <w:rPr>
          <w:rFonts w:hint="default"/>
          <w:lang w:val="en-US" w:eastAsia="zh-CN"/>
        </w:rPr>
        <w:t>。加强对环评文件编制单位、编制人员和环评专家的监督管理，提高专家队伍素质，提升编制单位能力水平，保证环评文件编制质量。严格按照《建设项目环境影响报告书（表）编制监督管理办法》等要求，对信用管理对象实施失信计分；存在违法行为的，依法追究有关单位和人员责任。严格执行《山东省环境影响评价和危险废物评审专家库管理办法（试行）》，加强环评专家队伍管理和考核。自2020年起，开展全省竣工验收评估和环评文件技术复核，依法查处存在问题的单位和人员。</w:t>
      </w:r>
    </w:p>
    <w:p>
      <w:pPr>
        <w:pStyle w:val="2"/>
        <w:keepNext w:val="0"/>
        <w:keepLines w:val="0"/>
        <w:pageBreakBefore w:val="0"/>
        <w:widowControl w:val="0"/>
        <w:kinsoku/>
        <w:wordWrap/>
        <w:overflowPunct/>
        <w:topLinePunct w:val="0"/>
        <w:autoSpaceDE/>
        <w:autoSpaceDN/>
        <w:bidi w:val="0"/>
        <w:adjustRightInd/>
        <w:snapToGrid/>
        <w:spacing w:line="580" w:lineRule="exact"/>
        <w:jc w:val="both"/>
        <w:textAlignment w:val="auto"/>
      </w:pPr>
      <w:r>
        <w:rPr>
          <w:lang w:val="en-US" w:eastAsia="zh-CN"/>
        </w:rPr>
        <w:t>二、全力推动重大项目建设</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pPr>
      <w:r>
        <w:rPr>
          <w:rStyle w:val="16"/>
          <w:rFonts w:hint="default"/>
          <w:lang w:val="en-US" w:eastAsia="zh-CN"/>
        </w:rPr>
        <w:t>（五）完善服务重大项目落地机制</w:t>
      </w:r>
      <w:r>
        <w:rPr>
          <w:rFonts w:hint="default"/>
          <w:lang w:val="en-US" w:eastAsia="zh-CN"/>
        </w:rPr>
        <w:t>。实施重大项目清单制度，结合省委、省政府决策部署，主动对接发展改革、交通运输、工业和信息化等部门，围绕重点项目、新旧动能转换重大项目、“双招双引”重点签约项目、利用外资层面重大项目、重大基础设施项目、民生工程和重大产业布局等重大项目，建立工作台账，完善服务机制，推动项目尽快落地。建立服务企业联络员制度，明确专人从重大项目立项阶段即提前介入，指导企业在可研阶段同步编制环评文件，主动了解项目在生态环境方面的政策需求，将项目问题解决在环评文件编制过程中。完善重大项目环评审批绿色通道，实行容缺受理、并联审批、即来即审，最大限度缩短审批时限、提高审批效率。</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pPr>
      <w:r>
        <w:rPr>
          <w:rStyle w:val="16"/>
          <w:rFonts w:hint="default"/>
          <w:lang w:val="en-US" w:eastAsia="zh-CN"/>
        </w:rPr>
        <w:t>（六）全面建立服务企业会商机制</w:t>
      </w:r>
      <w:r>
        <w:rPr>
          <w:rFonts w:hint="default"/>
          <w:lang w:val="en-US" w:eastAsia="zh-CN"/>
        </w:rPr>
        <w:t>。针对服务重大项目过程中企业反映的突出问题，及时总结归纳、认真分析研判，着力破解环评难题；采取对接会等形式了解企业诉求、开展政策解读，提升服务效能。坚持问题导向，针对比较集中、突出的难题，在确保区域环境质量不恶化、污染物达标排放的前提下，提出省级层面的指导意见或解决方案，充分发挥生态环境政策对促进新旧动能转换、优化营商环境的正向拉动作用。</w:t>
      </w:r>
    </w:p>
    <w:p>
      <w:pPr>
        <w:pStyle w:val="2"/>
        <w:keepNext w:val="0"/>
        <w:keepLines w:val="0"/>
        <w:pageBreakBefore w:val="0"/>
        <w:widowControl w:val="0"/>
        <w:kinsoku/>
        <w:wordWrap/>
        <w:overflowPunct/>
        <w:topLinePunct w:val="0"/>
        <w:autoSpaceDE/>
        <w:autoSpaceDN/>
        <w:bidi w:val="0"/>
        <w:adjustRightInd/>
        <w:snapToGrid/>
        <w:spacing w:line="580" w:lineRule="exact"/>
        <w:jc w:val="both"/>
        <w:textAlignment w:val="auto"/>
      </w:pPr>
      <w:r>
        <w:rPr>
          <w:lang w:val="en-US" w:eastAsia="zh-CN"/>
        </w:rPr>
        <w:t>三、强化空间管控宏观引导</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pPr>
      <w:r>
        <w:rPr>
          <w:rStyle w:val="16"/>
          <w:rFonts w:hint="default"/>
          <w:lang w:val="en-US" w:eastAsia="zh-CN"/>
        </w:rPr>
        <w:t>（七）着力推进“三线一单”科学编制及成果应用</w:t>
      </w:r>
      <w:r>
        <w:rPr>
          <w:rFonts w:hint="default"/>
          <w:lang w:val="en-US" w:eastAsia="zh-CN"/>
        </w:rPr>
        <w:t>。以改善生态环境质量为核心，衔接全省“十四五”生态环境保护统筹安排，加快推进生态保护红线、环境质量底线、资源利用上线和生态环境准入清单（“三线一单”）编制，同步研发数据管理应用系统。建立生态环境分区管控体系，充分发挥“三线一单”在优布局、控规模、调结构、促转型中的作用，把相关管控要求落到实处，为全省重大战略实施、重大项目落地提供支撑。</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pPr>
      <w:r>
        <w:rPr>
          <w:rStyle w:val="16"/>
          <w:rFonts w:hint="default"/>
          <w:lang w:val="en-US" w:eastAsia="zh-CN"/>
        </w:rPr>
        <w:t>（八）深化规划环评与项目环评联动</w:t>
      </w:r>
      <w:r>
        <w:rPr>
          <w:rFonts w:hint="default"/>
          <w:lang w:val="en-US" w:eastAsia="zh-CN"/>
        </w:rPr>
        <w:t>。切实加强与辖区内各类产业园区（含开发区，下同）规划编制部门的沟通，及时督促辖区内各类产业园区依法依规按期开展规划环评或跟踪评价，高质量、高标准、高效率对规划环评或跟踪评价文件组织审查。研究制定全省加强产业园区规划环评与项目环评联动的实施意见，强化产业园区规划环评和入园项目环评联动要求，提高项目环评审批效率；筛选规划环评措施落实到位的省级产业园区试点环评告知承诺审批。</w:t>
      </w:r>
    </w:p>
    <w:p>
      <w:pPr>
        <w:pStyle w:val="2"/>
        <w:keepNext w:val="0"/>
        <w:keepLines w:val="0"/>
        <w:pageBreakBefore w:val="0"/>
        <w:widowControl w:val="0"/>
        <w:kinsoku/>
        <w:wordWrap/>
        <w:overflowPunct/>
        <w:topLinePunct w:val="0"/>
        <w:autoSpaceDE/>
        <w:autoSpaceDN/>
        <w:bidi w:val="0"/>
        <w:adjustRightInd/>
        <w:snapToGrid/>
        <w:spacing w:line="580" w:lineRule="exact"/>
        <w:jc w:val="both"/>
        <w:textAlignment w:val="auto"/>
      </w:pPr>
      <w:r>
        <w:rPr>
          <w:lang w:val="en-US" w:eastAsia="zh-CN"/>
        </w:rPr>
        <w:t>四、统筹做好疫情防控和审批服务</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pPr>
      <w:r>
        <w:rPr>
          <w:rStyle w:val="16"/>
          <w:rFonts w:hint="default"/>
          <w:lang w:val="en-US" w:eastAsia="zh-CN"/>
        </w:rPr>
        <w:t>（九）积极实施环评审批正面清单</w:t>
      </w:r>
      <w:r>
        <w:rPr>
          <w:rFonts w:hint="default"/>
          <w:lang w:val="en-US" w:eastAsia="zh-CN"/>
        </w:rPr>
        <w:t>。按照生态环境部《关于统筹做好疫情防控和经济社会发展生态环保工作的指导意见》（环综合〔2020〕13号）要求，在2020年9月底前（根据形势需要可适当延长），开展全省建设项目环评豁免管理和告知承诺制改革试点，将部分环境污染影响小、风险低的建设项目以及疫情防控期间国家和各地党委政府认定急需的医疗卫生、物资生产、研究试验等建设项目，实施环评豁免管理改革；将环境影响总体可控、受疫情影响较大、就业密集型等民生相关的部分行业，实施环评告知承诺制改革。</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pPr>
      <w:r>
        <w:rPr>
          <w:rStyle w:val="16"/>
          <w:rFonts w:hint="default"/>
          <w:lang w:val="en-US" w:eastAsia="zh-CN"/>
        </w:rPr>
        <w:t>（十）做好疫情防控期间环评应急服务保障</w:t>
      </w:r>
      <w:r>
        <w:rPr>
          <w:rFonts w:hint="default"/>
          <w:lang w:val="en-US" w:eastAsia="zh-CN"/>
        </w:rPr>
        <w:t>。继续落实好已出台的疫情防控期间急需的医疗卫生、物资生产、研究试验等3类建设项目环评应急服务保障政策；持续提供“网上办”审批服务，开展“不见面”技术审查，采取“零接触”现场踏勘，支撑保障疫情防控和经济社会平稳健康发展。</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430">
      <wne:acd wne:acdName="acd0"/>
    </wne:keymap>
    <wne:keymap wne:kcmPrimary="0431">
      <wne:acd wne:acdName="acd1"/>
    </wne:keymap>
  </wne:keymaps>
  <wne:acds>
    <wne:acd wne:argValue="AQAAAAAA" wne:acdName="acd0" wne:fciIndexBasedOn="0065"/>
    <wne:acd wne:argValue="AQAAAAEA" wne:acdName="acd1"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Theme="minorEastAsia" w:hAnsiTheme="minorEastAsia" w:eastAsiaTheme="minorEastAsia" w:cstheme="minorEastAsia"/>
                              <w:sz w:val="28"/>
                              <w:szCs w:val="40"/>
                              <w:lang w:eastAsia="zh-CN"/>
                            </w:rPr>
                          </w:pPr>
                          <w:r>
                            <w:rPr>
                              <w:rFonts w:hint="eastAsia" w:asciiTheme="minorEastAsia" w:hAnsiTheme="minorEastAsia" w:eastAsiaTheme="minorEastAsia" w:cstheme="minorEastAsia"/>
                              <w:sz w:val="28"/>
                              <w:szCs w:val="40"/>
                              <w:lang w:eastAsia="zh-CN"/>
                            </w:rPr>
                            <w:fldChar w:fldCharType="begin"/>
                          </w:r>
                          <w:r>
                            <w:rPr>
                              <w:rFonts w:hint="eastAsia" w:asciiTheme="minorEastAsia" w:hAnsiTheme="minorEastAsia" w:eastAsiaTheme="minorEastAsia" w:cstheme="minorEastAsia"/>
                              <w:sz w:val="28"/>
                              <w:szCs w:val="40"/>
                              <w:lang w:eastAsia="zh-CN"/>
                            </w:rPr>
                            <w:instrText xml:space="preserve"> PAGE  \* MERGEFORMAT </w:instrText>
                          </w:r>
                          <w:r>
                            <w:rPr>
                              <w:rFonts w:hint="eastAsia" w:asciiTheme="minorEastAsia" w:hAnsiTheme="minorEastAsia" w:eastAsiaTheme="minorEastAsia" w:cstheme="minorEastAsia"/>
                              <w:sz w:val="28"/>
                              <w:szCs w:val="40"/>
                              <w:lang w:eastAsia="zh-CN"/>
                            </w:rPr>
                            <w:fldChar w:fldCharType="separate"/>
                          </w:r>
                          <w:r>
                            <w:rPr>
                              <w:rFonts w:hint="eastAsia" w:asciiTheme="minorEastAsia" w:hAnsiTheme="minorEastAsia" w:eastAsiaTheme="minorEastAsia" w:cstheme="minorEastAsia"/>
                              <w:sz w:val="28"/>
                              <w:szCs w:val="40"/>
                              <w:lang w:eastAsia="zh-CN"/>
                            </w:rPr>
                            <w:t>1</w:t>
                          </w:r>
                          <w:r>
                            <w:rPr>
                              <w:rFonts w:hint="eastAsia" w:asciiTheme="minorEastAsia" w:hAnsiTheme="minorEastAsia" w:eastAsiaTheme="minorEastAsia" w:cstheme="minorEastAsia"/>
                              <w:sz w:val="28"/>
                              <w:szCs w:val="40"/>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0"/>
                      <w:rPr>
                        <w:rFonts w:hint="eastAsia" w:asciiTheme="minorEastAsia" w:hAnsiTheme="minorEastAsia" w:eastAsiaTheme="minorEastAsia" w:cstheme="minorEastAsia"/>
                        <w:sz w:val="28"/>
                        <w:szCs w:val="40"/>
                        <w:lang w:eastAsia="zh-CN"/>
                      </w:rPr>
                    </w:pPr>
                    <w:r>
                      <w:rPr>
                        <w:rFonts w:hint="eastAsia" w:asciiTheme="minorEastAsia" w:hAnsiTheme="minorEastAsia" w:eastAsiaTheme="minorEastAsia" w:cstheme="minorEastAsia"/>
                        <w:sz w:val="28"/>
                        <w:szCs w:val="40"/>
                        <w:lang w:eastAsia="zh-CN"/>
                      </w:rPr>
                      <w:fldChar w:fldCharType="begin"/>
                    </w:r>
                    <w:r>
                      <w:rPr>
                        <w:rFonts w:hint="eastAsia" w:asciiTheme="minorEastAsia" w:hAnsiTheme="minorEastAsia" w:eastAsiaTheme="minorEastAsia" w:cstheme="minorEastAsia"/>
                        <w:sz w:val="28"/>
                        <w:szCs w:val="40"/>
                        <w:lang w:eastAsia="zh-CN"/>
                      </w:rPr>
                      <w:instrText xml:space="preserve"> PAGE  \* MERGEFORMAT </w:instrText>
                    </w:r>
                    <w:r>
                      <w:rPr>
                        <w:rFonts w:hint="eastAsia" w:asciiTheme="minorEastAsia" w:hAnsiTheme="minorEastAsia" w:eastAsiaTheme="minorEastAsia" w:cstheme="minorEastAsia"/>
                        <w:sz w:val="28"/>
                        <w:szCs w:val="40"/>
                        <w:lang w:eastAsia="zh-CN"/>
                      </w:rPr>
                      <w:fldChar w:fldCharType="separate"/>
                    </w:r>
                    <w:r>
                      <w:rPr>
                        <w:rFonts w:hint="eastAsia" w:asciiTheme="minorEastAsia" w:hAnsiTheme="minorEastAsia" w:eastAsiaTheme="minorEastAsia" w:cstheme="minorEastAsia"/>
                        <w:sz w:val="28"/>
                        <w:szCs w:val="40"/>
                        <w:lang w:eastAsia="zh-CN"/>
                      </w:rPr>
                      <w:t>1</w:t>
                    </w:r>
                    <w:r>
                      <w:rPr>
                        <w:rFonts w:hint="eastAsia" w:asciiTheme="minorEastAsia" w:hAnsiTheme="minorEastAsia" w:eastAsiaTheme="minorEastAsia" w:cstheme="minorEastAsia"/>
                        <w:sz w:val="28"/>
                        <w:szCs w:val="40"/>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3746E6"/>
    <w:rsid w:val="016D20EA"/>
    <w:rsid w:val="01B54547"/>
    <w:rsid w:val="01D95650"/>
    <w:rsid w:val="051A1A1C"/>
    <w:rsid w:val="059639F8"/>
    <w:rsid w:val="06C75833"/>
    <w:rsid w:val="07366DEA"/>
    <w:rsid w:val="07CC295B"/>
    <w:rsid w:val="07F621FF"/>
    <w:rsid w:val="08755A28"/>
    <w:rsid w:val="09705865"/>
    <w:rsid w:val="099833ED"/>
    <w:rsid w:val="0AB81BCC"/>
    <w:rsid w:val="0B0B5E10"/>
    <w:rsid w:val="0B384C1D"/>
    <w:rsid w:val="0C792472"/>
    <w:rsid w:val="0CA67803"/>
    <w:rsid w:val="0D5E051C"/>
    <w:rsid w:val="0E5E1A53"/>
    <w:rsid w:val="0F4408E2"/>
    <w:rsid w:val="11E53E3E"/>
    <w:rsid w:val="128B0DB2"/>
    <w:rsid w:val="12EF56A2"/>
    <w:rsid w:val="13F03C16"/>
    <w:rsid w:val="13F53F9B"/>
    <w:rsid w:val="153D1301"/>
    <w:rsid w:val="167B17B6"/>
    <w:rsid w:val="17EB2734"/>
    <w:rsid w:val="18DA6D55"/>
    <w:rsid w:val="19004721"/>
    <w:rsid w:val="194C0BD1"/>
    <w:rsid w:val="19B47C78"/>
    <w:rsid w:val="19C05AFE"/>
    <w:rsid w:val="1A31085C"/>
    <w:rsid w:val="1B076C4B"/>
    <w:rsid w:val="1BB902BE"/>
    <w:rsid w:val="1CCD4FEF"/>
    <w:rsid w:val="1D765E88"/>
    <w:rsid w:val="1DDD29CD"/>
    <w:rsid w:val="1F9B1A78"/>
    <w:rsid w:val="20C10D08"/>
    <w:rsid w:val="217D5DA2"/>
    <w:rsid w:val="25991CB4"/>
    <w:rsid w:val="26A97C02"/>
    <w:rsid w:val="282D4C92"/>
    <w:rsid w:val="28383975"/>
    <w:rsid w:val="290C10D0"/>
    <w:rsid w:val="291834B7"/>
    <w:rsid w:val="29F72999"/>
    <w:rsid w:val="2C025082"/>
    <w:rsid w:val="2D536694"/>
    <w:rsid w:val="2DC61ADB"/>
    <w:rsid w:val="2F0D1812"/>
    <w:rsid w:val="2F3E5B14"/>
    <w:rsid w:val="2FD51012"/>
    <w:rsid w:val="300856A8"/>
    <w:rsid w:val="30C06309"/>
    <w:rsid w:val="33A36D21"/>
    <w:rsid w:val="33A95590"/>
    <w:rsid w:val="34E27FEB"/>
    <w:rsid w:val="372A729F"/>
    <w:rsid w:val="37DE1D6C"/>
    <w:rsid w:val="380361EA"/>
    <w:rsid w:val="392C0C76"/>
    <w:rsid w:val="3A0004E4"/>
    <w:rsid w:val="3A0704A7"/>
    <w:rsid w:val="3A137323"/>
    <w:rsid w:val="3A192BB6"/>
    <w:rsid w:val="3A4D6567"/>
    <w:rsid w:val="3AB14BC7"/>
    <w:rsid w:val="3AC03B54"/>
    <w:rsid w:val="3CFB07B4"/>
    <w:rsid w:val="3FF41AF9"/>
    <w:rsid w:val="40902D57"/>
    <w:rsid w:val="40FE2A50"/>
    <w:rsid w:val="418C3B67"/>
    <w:rsid w:val="4447614A"/>
    <w:rsid w:val="44E128B5"/>
    <w:rsid w:val="45104615"/>
    <w:rsid w:val="467B2984"/>
    <w:rsid w:val="46986E5E"/>
    <w:rsid w:val="46C82368"/>
    <w:rsid w:val="472233BF"/>
    <w:rsid w:val="47BF505B"/>
    <w:rsid w:val="47C92F25"/>
    <w:rsid w:val="4A10592C"/>
    <w:rsid w:val="4AB23D7F"/>
    <w:rsid w:val="4B7C0D2E"/>
    <w:rsid w:val="4CD27E9E"/>
    <w:rsid w:val="4D813F85"/>
    <w:rsid w:val="4FC55FA2"/>
    <w:rsid w:val="515041F6"/>
    <w:rsid w:val="5269487D"/>
    <w:rsid w:val="52AA382E"/>
    <w:rsid w:val="53341D63"/>
    <w:rsid w:val="533C1F45"/>
    <w:rsid w:val="53CF7E85"/>
    <w:rsid w:val="543909D7"/>
    <w:rsid w:val="54A50900"/>
    <w:rsid w:val="56C44B2D"/>
    <w:rsid w:val="56CF16D5"/>
    <w:rsid w:val="57016EA9"/>
    <w:rsid w:val="57315A14"/>
    <w:rsid w:val="57470448"/>
    <w:rsid w:val="57DF6AC1"/>
    <w:rsid w:val="5B345F8F"/>
    <w:rsid w:val="5BAF6869"/>
    <w:rsid w:val="5BE13A76"/>
    <w:rsid w:val="5BF8082D"/>
    <w:rsid w:val="5CDA17BE"/>
    <w:rsid w:val="5DB41D8E"/>
    <w:rsid w:val="5F2568D5"/>
    <w:rsid w:val="603E0400"/>
    <w:rsid w:val="605842FA"/>
    <w:rsid w:val="61675F31"/>
    <w:rsid w:val="61BE10AC"/>
    <w:rsid w:val="625C384E"/>
    <w:rsid w:val="654B6F3E"/>
    <w:rsid w:val="65E40EA7"/>
    <w:rsid w:val="66771D74"/>
    <w:rsid w:val="67382755"/>
    <w:rsid w:val="678F05AA"/>
    <w:rsid w:val="67F164F0"/>
    <w:rsid w:val="68B32FE4"/>
    <w:rsid w:val="691A6749"/>
    <w:rsid w:val="6A521B8E"/>
    <w:rsid w:val="6AA86ADF"/>
    <w:rsid w:val="6B120AD3"/>
    <w:rsid w:val="6C33502A"/>
    <w:rsid w:val="6C6B718D"/>
    <w:rsid w:val="6DD2537A"/>
    <w:rsid w:val="6FE27ADE"/>
    <w:rsid w:val="701D1BCF"/>
    <w:rsid w:val="705C4F16"/>
    <w:rsid w:val="70612C59"/>
    <w:rsid w:val="70A065F8"/>
    <w:rsid w:val="717654C7"/>
    <w:rsid w:val="71FE0F3E"/>
    <w:rsid w:val="7272303A"/>
    <w:rsid w:val="730A0715"/>
    <w:rsid w:val="747534AD"/>
    <w:rsid w:val="761E15C0"/>
    <w:rsid w:val="76D16729"/>
    <w:rsid w:val="772340C8"/>
    <w:rsid w:val="783320F4"/>
    <w:rsid w:val="78945B72"/>
    <w:rsid w:val="79560BE3"/>
    <w:rsid w:val="7A6B3339"/>
    <w:rsid w:val="7A8217B7"/>
    <w:rsid w:val="7C296471"/>
    <w:rsid w:val="7C62368E"/>
    <w:rsid w:val="7C8A1BC4"/>
    <w:rsid w:val="7D491244"/>
    <w:rsid w:val="7DF82FC6"/>
    <w:rsid w:val="7F9D1B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0"/>
    <w:qFormat/>
    <w:uiPriority w:val="0"/>
    <w:pPr>
      <w:widowControl w:val="0"/>
      <w:spacing w:line="620" w:lineRule="exact"/>
      <w:ind w:firstLine="420" w:firstLineChars="200"/>
      <w:jc w:val="both"/>
    </w:pPr>
    <w:rPr>
      <w:rFonts w:eastAsia="仿宋_GB2312" w:asciiTheme="minorAscii" w:hAnsiTheme="minorAscii" w:cstheme="minorBidi"/>
      <w:sz w:val="32"/>
      <w:szCs w:val="22"/>
    </w:rPr>
  </w:style>
  <w:style w:type="paragraph" w:styleId="2">
    <w:name w:val="heading 1"/>
    <w:basedOn w:val="1"/>
    <w:next w:val="1"/>
    <w:link w:val="21"/>
    <w:qFormat/>
    <w:uiPriority w:val="0"/>
    <w:pPr>
      <w:spacing w:before="0" w:beforeAutospacing="0" w:after="0" w:afterAutospacing="0" w:line="620" w:lineRule="exact"/>
      <w:ind w:firstLine="880" w:firstLineChars="200"/>
      <w:jc w:val="left"/>
      <w:outlineLvl w:val="0"/>
    </w:pPr>
    <w:rPr>
      <w:rFonts w:hint="eastAsia" w:ascii="宋体" w:hAnsi="宋体" w:eastAsia="黑体" w:cs="宋体"/>
      <w:kern w:val="44"/>
      <w:szCs w:val="48"/>
      <w:lang w:val="en-US" w:eastAsia="zh-CN" w:bidi="ar"/>
    </w:rPr>
  </w:style>
  <w:style w:type="paragraph" w:styleId="3">
    <w:name w:val="heading 2"/>
    <w:basedOn w:val="1"/>
    <w:next w:val="1"/>
    <w:link w:val="16"/>
    <w:semiHidden/>
    <w:unhideWhenUsed/>
    <w:qFormat/>
    <w:uiPriority w:val="0"/>
    <w:pPr>
      <w:keepNext/>
      <w:keepLines/>
      <w:spacing w:beforeLines="0" w:beforeAutospacing="0" w:afterLines="0" w:afterAutospacing="0" w:line="620" w:lineRule="exact"/>
      <w:ind w:firstLine="420" w:firstLineChars="200"/>
      <w:outlineLvl w:val="1"/>
    </w:pPr>
    <w:rPr>
      <w:rFonts w:ascii="Arial" w:hAnsi="Arial" w:eastAsia="楷体_GB2312" w:cs="Times New Roman"/>
    </w:rPr>
  </w:style>
  <w:style w:type="paragraph" w:styleId="4">
    <w:name w:val="heading 3"/>
    <w:basedOn w:val="1"/>
    <w:next w:val="1"/>
    <w:link w:val="18"/>
    <w:semiHidden/>
    <w:unhideWhenUsed/>
    <w:qFormat/>
    <w:uiPriority w:val="0"/>
    <w:pPr>
      <w:spacing w:before="0" w:beforeAutospacing="1" w:after="0" w:afterAutospacing="1" w:line="620" w:lineRule="exact"/>
      <w:jc w:val="left"/>
      <w:outlineLvl w:val="2"/>
    </w:pPr>
    <w:rPr>
      <w:rFonts w:hint="eastAsia" w:ascii="宋体" w:hAnsi="宋体" w:eastAsia="仿宋_GB2312" w:cs="宋体"/>
      <w:b/>
      <w:kern w:val="0"/>
      <w:sz w:val="32"/>
      <w:szCs w:val="27"/>
      <w:lang w:bidi="ar"/>
    </w:rPr>
  </w:style>
  <w:style w:type="paragraph" w:styleId="5">
    <w:name w:val="heading 5"/>
    <w:basedOn w:val="1"/>
    <w:next w:val="1"/>
    <w:semiHidden/>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6">
    <w:name w:val="annotation text"/>
    <w:basedOn w:val="7"/>
    <w:qFormat/>
    <w:uiPriority w:val="0"/>
    <w:pPr>
      <w:jc w:val="left"/>
    </w:pPr>
    <w:rPr>
      <w:rFonts w:eastAsia="宋体" w:asciiTheme="minorAscii" w:hAnsiTheme="minorAscii"/>
      <w:sz w:val="32"/>
      <w:szCs w:val="18"/>
    </w:rPr>
  </w:style>
  <w:style w:type="paragraph" w:styleId="7">
    <w:name w:val="Balloon Text"/>
    <w:basedOn w:val="1"/>
    <w:qFormat/>
    <w:uiPriority w:val="0"/>
    <w:rPr>
      <w:sz w:val="18"/>
    </w:rPr>
  </w:style>
  <w:style w:type="paragraph" w:styleId="8">
    <w:name w:val="Body Text"/>
    <w:basedOn w:val="1"/>
    <w:qFormat/>
    <w:uiPriority w:val="0"/>
    <w:pPr>
      <w:spacing w:after="120" w:afterLines="0" w:afterAutospacing="0"/>
    </w:pPr>
  </w:style>
  <w:style w:type="paragraph" w:styleId="9">
    <w:name w:val="toc 3"/>
    <w:basedOn w:val="1"/>
    <w:next w:val="1"/>
    <w:qFormat/>
    <w:uiPriority w:val="0"/>
    <w:pPr>
      <w:ind w:left="840" w:leftChars="400"/>
    </w:pPr>
    <w:rPr>
      <w:rFonts w:eastAsiaTheme="minorEastAsia"/>
      <w:sz w:val="24"/>
      <w:szCs w:val="24"/>
    </w:rPr>
  </w:style>
  <w:style w:type="paragraph" w:styleId="10">
    <w:name w:val="footer"/>
    <w:basedOn w:val="1"/>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0"/>
    <w:pPr>
      <w:snapToGrid w:val="0"/>
      <w:spacing w:line="640" w:lineRule="exact"/>
      <w:ind w:firstLine="0" w:firstLineChars="0"/>
    </w:pPr>
    <w:rPr>
      <w:rFonts w:ascii="仿宋_GB2312" w:hAnsi="仿宋_GB2312"/>
      <w:color w:val="000000"/>
      <w:sz w:val="28"/>
      <w:szCs w:val="36"/>
    </w:rPr>
  </w:style>
  <w:style w:type="paragraph" w:styleId="13">
    <w:name w:val="toc 2"/>
    <w:basedOn w:val="1"/>
    <w:next w:val="1"/>
    <w:qFormat/>
    <w:uiPriority w:val="0"/>
    <w:pPr>
      <w:spacing w:line="240" w:lineRule="auto"/>
      <w:ind w:left="0" w:leftChars="0"/>
    </w:pPr>
    <w:rPr>
      <w:rFonts w:eastAsia="楷体"/>
      <w:sz w:val="24"/>
      <w:szCs w:val="24"/>
    </w:rPr>
  </w:style>
  <w:style w:type="character" w:customStyle="1" w:styleId="16">
    <w:name w:val="标题 2 Char"/>
    <w:link w:val="3"/>
    <w:qFormat/>
    <w:uiPriority w:val="0"/>
    <w:rPr>
      <w:rFonts w:ascii="Arial" w:hAnsi="Arial" w:eastAsia="楷体_GB2312" w:cs="Times New Roman"/>
      <w:sz w:val="32"/>
      <w:szCs w:val="24"/>
    </w:rPr>
  </w:style>
  <w:style w:type="paragraph" w:customStyle="1" w:styleId="17">
    <w:name w:val="题目"/>
    <w:basedOn w:val="1"/>
    <w:next w:val="1"/>
    <w:qFormat/>
    <w:uiPriority w:val="0"/>
    <w:pPr>
      <w:spacing w:line="620" w:lineRule="exact"/>
      <w:ind w:firstLine="0" w:firstLineChars="0"/>
      <w:jc w:val="center"/>
    </w:pPr>
    <w:rPr>
      <w:rFonts w:eastAsia="方正小标宋简体"/>
      <w:sz w:val="44"/>
    </w:rPr>
  </w:style>
  <w:style w:type="character" w:customStyle="1" w:styleId="18">
    <w:name w:val="标题 3 Char"/>
    <w:link w:val="4"/>
    <w:qFormat/>
    <w:uiPriority w:val="0"/>
    <w:rPr>
      <w:rFonts w:hint="eastAsia" w:ascii="宋体" w:hAnsi="宋体" w:eastAsia="仿宋_GB2312" w:cs="宋体"/>
      <w:b/>
      <w:kern w:val="0"/>
      <w:sz w:val="32"/>
      <w:szCs w:val="27"/>
      <w:lang w:val="en-US" w:eastAsia="zh-CN" w:bidi="ar"/>
    </w:rPr>
  </w:style>
  <w:style w:type="paragraph" w:customStyle="1" w:styleId="19">
    <w:name w:val="Default"/>
    <w:qFormat/>
    <w:uiPriority w:val="99"/>
    <w:pPr>
      <w:widowControl w:val="0"/>
      <w:autoSpaceDE w:val="0"/>
      <w:autoSpaceDN w:val="0"/>
      <w:adjustRightInd w:val="0"/>
      <w:spacing w:line="620" w:lineRule="exact"/>
    </w:pPr>
    <w:rPr>
      <w:rFonts w:ascii="方正小标宋简体" w:hAnsi="方正小标宋简体" w:eastAsia="方正小标宋简体" w:cs="方正小标宋简体"/>
      <w:color w:val="000000"/>
      <w:sz w:val="32"/>
      <w:szCs w:val="24"/>
      <w:lang w:val="en-US" w:eastAsia="zh-CN" w:bidi="ar-SA"/>
    </w:rPr>
  </w:style>
  <w:style w:type="character" w:customStyle="1" w:styleId="20">
    <w:name w:val="NormalCharacter"/>
    <w:link w:val="1"/>
    <w:semiHidden/>
    <w:qFormat/>
    <w:uiPriority w:val="0"/>
    <w:rPr>
      <w:rFonts w:eastAsia="仿宋_GB2312" w:asciiTheme="minorAscii" w:hAnsiTheme="minorAscii"/>
      <w:sz w:val="32"/>
    </w:rPr>
  </w:style>
  <w:style w:type="character" w:customStyle="1" w:styleId="21">
    <w:name w:val="标题 1 Char"/>
    <w:link w:val="2"/>
    <w:qFormat/>
    <w:uiPriority w:val="0"/>
    <w:rPr>
      <w:rFonts w:hint="eastAsia" w:ascii="宋体" w:hAnsi="宋体" w:eastAsia="黑体" w:cs="宋体"/>
      <w:kern w:val="44"/>
      <w:szCs w:val="48"/>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microsoft.com/office/2006/relationships/keyMapCustomizations" Target="customizations.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2</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来福是个小调皮</dc:creator>
  <cp:lastModifiedBy>Administrator</cp:lastModifiedBy>
  <dcterms:modified xsi:type="dcterms:W3CDTF">2020-08-07T06:55:53Z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